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37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CONOCIMIENTOS</w:t>
      </w:r>
    </w:p>
    <w:p>
      <w:pPr>
        <w:spacing w:line="319" w:lineRule="auto" w:before="186"/>
        <w:ind w:left="2527" w:right="2315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ESPECIALISTA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EN</w:t>
      </w:r>
      <w:r>
        <w:rPr>
          <w:b/>
          <w:spacing w:val="23"/>
          <w:sz w:val="25"/>
        </w:rPr>
        <w:t> </w:t>
      </w:r>
      <w:r>
        <w:rPr>
          <w:b/>
          <w:sz w:val="25"/>
        </w:rPr>
        <w:t>SERVICIOS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GENERALES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II</w:t>
      </w:r>
      <w:r>
        <w:rPr>
          <w:b/>
          <w:spacing w:val="-53"/>
          <w:sz w:val="25"/>
        </w:rPr>
        <w:t> </w:t>
      </w:r>
      <w:r>
        <w:rPr>
          <w:b/>
          <w:w w:val="105"/>
          <w:sz w:val="25"/>
        </w:rPr>
        <w:t>PLAZA</w:t>
      </w:r>
      <w:r>
        <w:rPr>
          <w:b/>
          <w:spacing w:val="-2"/>
          <w:w w:val="105"/>
          <w:sz w:val="25"/>
        </w:rPr>
        <w:t> </w:t>
      </w:r>
      <w:r>
        <w:rPr>
          <w:b/>
          <w:w w:val="105"/>
          <w:sz w:val="25"/>
        </w:rPr>
        <w:t>N°</w:t>
      </w:r>
      <w:r>
        <w:rPr>
          <w:b/>
          <w:spacing w:val="-1"/>
          <w:w w:val="105"/>
          <w:sz w:val="25"/>
        </w:rPr>
        <w:t> </w:t>
      </w:r>
      <w:r>
        <w:rPr>
          <w:b/>
          <w:w w:val="105"/>
          <w:sz w:val="25"/>
        </w:rPr>
        <w:t>45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39" w:right="118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272" w:right="2251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451" w:right="429"/>
              <w:rPr>
                <w:b/>
                <w:sz w:val="19"/>
              </w:rPr>
            </w:pPr>
            <w:r>
              <w:rPr>
                <w:b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left="382" w:right="365"/>
              <w:rPr>
                <w:sz w:val="16"/>
              </w:rPr>
            </w:pPr>
            <w:r>
              <w:rPr>
                <w:sz w:val="16"/>
              </w:rPr>
              <w:t>ALCAHUA</w:t>
            </w:r>
          </w:p>
        </w:tc>
        <w:tc>
          <w:tcPr>
            <w:tcW w:w="2256" w:type="dxa"/>
          </w:tcPr>
          <w:p>
            <w:pPr>
              <w:pStyle w:val="TableParagraph"/>
              <w:ind w:left="851"/>
              <w:jc w:val="left"/>
              <w:rPr>
                <w:sz w:val="16"/>
              </w:rPr>
            </w:pPr>
            <w:r>
              <w:rPr>
                <w:sz w:val="16"/>
              </w:rPr>
              <w:t>ROSSELL</w:t>
            </w:r>
          </w:p>
        </w:tc>
        <w:tc>
          <w:tcPr>
            <w:tcW w:w="2566" w:type="dxa"/>
          </w:tcPr>
          <w:p>
            <w:pPr>
              <w:pStyle w:val="TableParagraph"/>
              <w:ind w:left="695" w:right="671"/>
              <w:rPr>
                <w:sz w:val="16"/>
              </w:rPr>
            </w:pPr>
            <w:r>
              <w:rPr>
                <w:sz w:val="16"/>
              </w:rPr>
              <w:t>JHENRRY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ROBERT</w:t>
            </w:r>
          </w:p>
        </w:tc>
        <w:tc>
          <w:tcPr>
            <w:tcW w:w="2062" w:type="dxa"/>
          </w:tcPr>
          <w:p>
            <w:pPr>
              <w:pStyle w:val="TableParagraph"/>
              <w:ind w:left="448" w:right="42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388" w:right="365"/>
              <w:rPr>
                <w:sz w:val="16"/>
              </w:rPr>
            </w:pPr>
            <w:r>
              <w:rPr>
                <w:sz w:val="16"/>
              </w:rPr>
              <w:t>HERNÁNDEZ</w:t>
            </w:r>
          </w:p>
        </w:tc>
        <w:tc>
          <w:tcPr>
            <w:tcW w:w="2256" w:type="dxa"/>
          </w:tcPr>
          <w:p>
            <w:pPr>
              <w:pStyle w:val="TableParagraph"/>
              <w:ind w:left="883"/>
              <w:jc w:val="left"/>
              <w:rPr>
                <w:sz w:val="16"/>
              </w:rPr>
            </w:pPr>
            <w:r>
              <w:rPr>
                <w:sz w:val="16"/>
              </w:rPr>
              <w:t>ESCATE</w:t>
            </w:r>
          </w:p>
        </w:tc>
        <w:tc>
          <w:tcPr>
            <w:tcW w:w="2566" w:type="dxa"/>
          </w:tcPr>
          <w:p>
            <w:pPr>
              <w:pStyle w:val="TableParagraph"/>
              <w:ind w:left="695" w:right="671"/>
              <w:rPr>
                <w:sz w:val="16"/>
              </w:rPr>
            </w:pPr>
            <w:r>
              <w:rPr>
                <w:sz w:val="16"/>
              </w:rPr>
              <w:t>CESAR ANTONIO</w:t>
            </w:r>
          </w:p>
        </w:tc>
        <w:tc>
          <w:tcPr>
            <w:tcW w:w="2062" w:type="dxa"/>
          </w:tcPr>
          <w:p>
            <w:pPr>
              <w:pStyle w:val="TableParagraph"/>
              <w:ind w:left="455" w:right="429"/>
              <w:rPr>
                <w:sz w:val="16"/>
              </w:rPr>
            </w:pPr>
            <w:r>
              <w:rPr>
                <w:sz w:val="16"/>
              </w:rPr>
              <w:t>NO 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385" w:right="365"/>
              <w:rPr>
                <w:sz w:val="16"/>
              </w:rPr>
            </w:pPr>
            <w:r>
              <w:rPr>
                <w:sz w:val="16"/>
              </w:rPr>
              <w:t>FERNÁNDEZ</w:t>
            </w:r>
          </w:p>
        </w:tc>
        <w:tc>
          <w:tcPr>
            <w:tcW w:w="2256" w:type="dxa"/>
          </w:tcPr>
          <w:p>
            <w:pPr>
              <w:pStyle w:val="TableParagraph"/>
              <w:ind w:left="909"/>
              <w:jc w:val="left"/>
              <w:rPr>
                <w:sz w:val="16"/>
              </w:rPr>
            </w:pPr>
            <w:r>
              <w:rPr>
                <w:sz w:val="16"/>
              </w:rPr>
              <w:t>LAGOS</w:t>
            </w:r>
          </w:p>
        </w:tc>
        <w:tc>
          <w:tcPr>
            <w:tcW w:w="2566" w:type="dxa"/>
          </w:tcPr>
          <w:p>
            <w:pPr>
              <w:pStyle w:val="TableParagraph"/>
              <w:ind w:left="694" w:right="671"/>
              <w:rPr>
                <w:sz w:val="16"/>
              </w:rPr>
            </w:pPr>
            <w:r>
              <w:rPr>
                <w:sz w:val="16"/>
              </w:rPr>
              <w:t>CESAR SAUL</w:t>
            </w:r>
          </w:p>
        </w:tc>
        <w:tc>
          <w:tcPr>
            <w:tcW w:w="2062" w:type="dxa"/>
          </w:tcPr>
          <w:p>
            <w:pPr>
              <w:pStyle w:val="TableParagraph"/>
              <w:ind w:left="455" w:right="429"/>
              <w:rPr>
                <w:sz w:val="16"/>
              </w:rPr>
            </w:pPr>
            <w:r>
              <w:rPr>
                <w:sz w:val="16"/>
              </w:rPr>
              <w:t>NO 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PRESENTÓ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1924" w:right="1721" w:firstLine="0"/>
        <w:jc w:val="center"/>
        <w:rPr>
          <w:b/>
          <w:sz w:val="17"/>
        </w:rPr>
      </w:pPr>
      <w:r>
        <w:rPr>
          <w:b/>
          <w:w w:val="105"/>
          <w:sz w:val="17"/>
          <w:u w:val="single"/>
        </w:rPr>
        <w:t>COMUNICADO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68" w:lineRule="auto" w:before="0" w:after="0"/>
        <w:ind w:left="729" w:right="539" w:firstLine="0"/>
        <w:jc w:val="both"/>
        <w:rPr>
          <w:sz w:val="17"/>
        </w:rPr>
      </w:pPr>
      <w:r>
        <w:rPr/>
        <w:pict>
          <v:rect style="position:absolute;margin-left:237.050003pt;margin-top:9.053263pt;width:2.03984pt;height:.6pt;mso-position-horizontal-relative:page;mso-position-vertical-relative:paragraph;z-index:-1582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89.140015pt;margin-top:9.053263pt;width:16.9203pt;height:.6pt;mso-position-horizontal-relative:page;mso-position-vertical-relative:paragraph;z-index:-15819776" filled="true" fillcolor="#000000" stroked="false">
            <v:fill type="solid"/>
            <w10:wrap type="none"/>
          </v:rect>
        </w:pict>
      </w:r>
      <w:r>
        <w:rPr>
          <w:w w:val="105"/>
          <w:sz w:val="17"/>
        </w:rPr>
        <w:t>La Comisión hace de conocimiento que el </w:t>
      </w:r>
      <w:r>
        <w:rPr>
          <w:w w:val="105"/>
          <w:sz w:val="17"/>
          <w:u w:val="single"/>
        </w:rPr>
        <w:t>postulante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w w:val="105"/>
          <w:sz w:val="17"/>
        </w:rPr>
        <w:t> igual </w:t>
      </w:r>
      <w:r>
        <w:rPr>
          <w:w w:val="105"/>
          <w:sz w:val="17"/>
          <w:u w:val="single"/>
        </w:rPr>
        <w:t>o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presentar su currículum vitae documentado y formatos 1, 2 y 3 conforme a las especificaciones indicadas en las Bases de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Convocatoria (en formato PDF) los dias </w:t>
      </w:r>
      <w:r>
        <w:rPr>
          <w:b/>
          <w:w w:val="105"/>
          <w:sz w:val="17"/>
          <w:u w:val="single"/>
        </w:rPr>
        <w:t>20 y 21 de junio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del presente año, desde las 00:00 hrs hasta las 16:30 hrs del día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medio 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68" w:lineRule="auto" w:before="70" w:after="0"/>
        <w:ind w:left="729" w:right="5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 página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color w:val="006FC0"/>
          <w:spacing w:val="-10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7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68" w:lineRule="auto" w:before="70" w:after="0"/>
        <w:ind w:left="729" w:right="5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postulante.</w:t>
      </w:r>
    </w:p>
    <w:p>
      <w:pPr>
        <w:pStyle w:val="BodyText"/>
        <w:spacing w:before="133"/>
        <w:ind w:right="542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29"/>
          <w:w w:val="105"/>
        </w:rPr>
        <w:t> </w:t>
      </w:r>
      <w:r>
        <w:rPr>
          <w:w w:val="105"/>
        </w:rPr>
        <w:t>Junio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1"/>
        </w:rPr>
      </w:pPr>
    </w:p>
    <w:p>
      <w:pPr>
        <w:spacing w:before="0"/>
        <w:ind w:left="251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1739138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518" w:right="264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18/06/2024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13:14:12-0500</w:t>
      </w:r>
    </w:p>
    <w:p>
      <w:pPr>
        <w:pStyle w:val="BodyText"/>
        <w:spacing w:before="10"/>
        <w:rPr>
          <w:rFonts w:ascii="Tahoma"/>
          <w:sz w:val="7"/>
        </w:rPr>
      </w:pPr>
    </w:p>
    <w:p>
      <w:pPr>
        <w:spacing w:before="0"/>
        <w:ind w:left="2529" w:right="0" w:firstLine="0"/>
        <w:jc w:val="left"/>
        <w:rPr>
          <w:b/>
          <w:sz w:val="16"/>
        </w:rPr>
      </w:pPr>
      <w:r>
        <w:rPr>
          <w:b/>
          <w:sz w:val="16"/>
        </w:rPr>
        <w:t>Presidente</w:t>
      </w:r>
    </w:p>
    <w:p>
      <w:pPr>
        <w:pStyle w:val="BodyText"/>
        <w:spacing w:before="1" w:after="40"/>
        <w:rPr>
          <w:b/>
          <w:sz w:val="24"/>
        </w:rPr>
      </w:pPr>
    </w:p>
    <w:p>
      <w:pPr>
        <w:pStyle w:val="BodyText"/>
        <w:ind w:left="4157" w:right="-44"/>
        <w:rPr>
          <w:sz w:val="20"/>
        </w:rPr>
      </w:pPr>
      <w:r>
        <w:rPr>
          <w:sz w:val="20"/>
        </w:rPr>
        <w:drawing>
          <wp:inline distT="0" distB="0" distL="0" distR="0">
            <wp:extent cx="272415" cy="267462"/>
            <wp:effectExtent l="0" t="0" r="0" b="0"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2"/>
        <w:rPr>
          <w:b/>
          <w:sz w:val="8"/>
        </w:rPr>
      </w:pPr>
    </w:p>
    <w:p>
      <w:pPr>
        <w:spacing w:before="0"/>
        <w:ind w:left="4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40" w:right="-18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18/06/2024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12:39:07-0500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line="249" w:lineRule="auto" w:before="1"/>
        <w:ind w:left="1784" w:right="87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80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5204586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18/06/2024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11:58:30-0500</w:t>
      </w:r>
    </w:p>
    <w:p>
      <w:pPr>
        <w:pStyle w:val="BodyText"/>
        <w:rPr>
          <w:rFonts w:ascii="Tahoma"/>
          <w:sz w:val="10"/>
        </w:rPr>
      </w:pPr>
    </w:p>
    <w:p>
      <w:pPr>
        <w:spacing w:before="73"/>
        <w:ind w:left="973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área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740" w:right="940"/>
          <w:cols w:num="3" w:equalWidth="0">
            <w:col w:w="4598" w:space="40"/>
            <w:col w:w="1515" w:space="39"/>
            <w:col w:w="4038"/>
          </w:cols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spacing w:before="0"/>
        <w:ind w:left="1924" w:right="1723" w:firstLine="0"/>
        <w:jc w:val="center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OAJ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line="184" w:lineRule="auto" w:before="129"/>
        <w:ind w:left="308" w:right="19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Bienes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Estatales,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aplicando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lo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dispuesto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por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el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Art.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25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DS.070-2013-PCM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y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Tercera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Disposición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nuestro portal web. </w:t>
      </w:r>
      <w:hyperlink r:id="rId9">
        <w:r>
          <w:rPr>
            <w:rFonts w:ascii="Arial MT" w:hAnsi="Arial MT"/>
            <w:color w:val="797979"/>
            <w:sz w:val="16"/>
          </w:rPr>
          <w:t>https://www.sbn.gob.pe </w:t>
        </w:r>
      </w:hyperlink>
      <w:r>
        <w:rPr>
          <w:rFonts w:ascii="Arial MT" w:hAnsi="Arial MT"/>
          <w:color w:val="797979"/>
          <w:sz w:val="16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dirección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web: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https://app.sbn.gob.pe/verifica.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En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ambos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casos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deberás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ingresar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-43"/>
          <w:sz w:val="16"/>
        </w:rPr>
        <w:t> </w:t>
      </w:r>
      <w:r>
        <w:rPr>
          <w:rFonts w:ascii="Arial MT" w:hAnsi="Arial MT"/>
          <w:color w:val="797979"/>
          <w:sz w:val="16"/>
        </w:rPr>
        <w:t>clave:3642E19652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9" w:hanging="200"/>
        <w:jc w:val="left"/>
      </w:pPr>
      <w:rPr>
        <w:rFonts w:hint="default" w:ascii="Calibri" w:hAnsi="Calibri" w:eastAsia="Calibri" w:cs="Calibri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1924" w:right="172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729" w:right="5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2024-06-19T14:03:11Z</dcterms:created>
  <dcterms:modified xsi:type="dcterms:W3CDTF">2024-06-19T14:03:11Z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</Properties>
</file>