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31D5C218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D2038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061C65F4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D20388">
        <w:rPr>
          <w:rFonts w:ascii="Arial" w:hAnsi="Arial" w:cs="Arial"/>
          <w:sz w:val="22"/>
          <w:szCs w:val="22"/>
        </w:rPr>
        <w:t>un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D20388">
        <w:rPr>
          <w:rFonts w:ascii="Arial" w:hAnsi="Arial" w:cs="Arial"/>
          <w:sz w:val="22"/>
          <w:szCs w:val="22"/>
        </w:rPr>
        <w:t>1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Pr="00954016">
        <w:rPr>
          <w:rFonts w:ascii="Arial" w:hAnsi="Arial" w:cs="Arial"/>
          <w:sz w:val="22"/>
          <w:szCs w:val="22"/>
        </w:rPr>
        <w:t xml:space="preserve">practicante profesional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D20388">
        <w:rPr>
          <w:rFonts w:ascii="Arial" w:hAnsi="Arial" w:cs="Arial"/>
          <w:sz w:val="22"/>
          <w:szCs w:val="22"/>
        </w:rPr>
        <w:t xml:space="preserve">Ingeniería Civil, Ingeniería Agrícola, Ingeniería Geográfica, Arquitectura y </w:t>
      </w:r>
      <w:r w:rsidR="00830030">
        <w:rPr>
          <w:rFonts w:ascii="Arial" w:hAnsi="Arial" w:cs="Arial"/>
          <w:sz w:val="22"/>
          <w:szCs w:val="22"/>
        </w:rPr>
        <w:t>Geografía</w:t>
      </w:r>
      <w:r w:rsidR="00954016">
        <w:rPr>
          <w:rFonts w:ascii="Arial" w:hAnsi="Arial" w:cs="Arial"/>
          <w:sz w:val="22"/>
          <w:szCs w:val="22"/>
        </w:rPr>
        <w:t>.</w:t>
      </w:r>
      <w:r w:rsidR="00830030">
        <w:rPr>
          <w:rFonts w:ascii="Arial" w:hAnsi="Arial" w:cs="Arial"/>
          <w:sz w:val="22"/>
          <w:szCs w:val="22"/>
        </w:rPr>
        <w:t xml:space="preserve"> </w:t>
      </w:r>
      <w:r w:rsidR="00D20388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54C7B14" w14:textId="2ED36A2F" w:rsidR="00217B8C" w:rsidRPr="000234FC" w:rsidRDefault="00B66733" w:rsidP="000234F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Subdirección de Administración del Patrimonio Estatal</w:t>
      </w:r>
      <w:r w:rsidR="00E61A56">
        <w:rPr>
          <w:rFonts w:ascii="Arial" w:hAnsi="Arial" w:cs="Arial"/>
          <w:sz w:val="22"/>
          <w:szCs w:val="22"/>
        </w:rPr>
        <w:t xml:space="preserve"> </w:t>
      </w:r>
      <w:r w:rsidR="00217B8C">
        <w:rPr>
          <w:rFonts w:ascii="Arial" w:hAnsi="Arial" w:cs="Arial"/>
          <w:sz w:val="22"/>
          <w:szCs w:val="22"/>
        </w:rPr>
        <w:t>de la Dirección de Gestión del Patrimonio Estatal.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5198CF83" w14:textId="5AF02442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49ABE2E6" w14:textId="77777777" w:rsidR="000234FC" w:rsidRPr="009419DB" w:rsidRDefault="000234F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3B66E4A" w14:textId="77777777" w:rsidR="000234FC" w:rsidRPr="002F7E7C" w:rsidRDefault="000234FC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3893A8DE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Egresado universitario de la carrera de </w:t>
            </w:r>
            <w:r w:rsidR="00830030">
              <w:rPr>
                <w:rFonts w:ascii="Arial" w:hAnsi="Arial" w:cs="Arial"/>
                <w:sz w:val="22"/>
                <w:szCs w:val="22"/>
              </w:rPr>
              <w:t>Ingeniería Civil, Ingeniería Agrícola, Ingeniería Geográfica, Arquitectura y Geografía.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19E635E4" w14:textId="67EC91E5" w:rsidR="00445149" w:rsidRDefault="00A8016E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AutoCad</w:t>
            </w:r>
            <w:r w:rsidR="004451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DC1126" w14:textId="5C273A18" w:rsidR="00A8016E" w:rsidRDefault="00A8016E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Sistemas de información geográfica.</w:t>
            </w:r>
          </w:p>
          <w:p w14:paraId="6225883A" w14:textId="75108151" w:rsidR="00445149" w:rsidRPr="0042474C" w:rsidRDefault="00A8016E" w:rsidP="0042474C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Ofimática básica.</w:t>
            </w: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4FEA595" w14:textId="6E70C197" w:rsidR="00A8016E" w:rsidRDefault="00A8016E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8016E">
        <w:rPr>
          <w:rFonts w:ascii="Arial" w:hAnsi="Arial" w:cs="Arial"/>
          <w:sz w:val="22"/>
          <w:szCs w:val="22"/>
        </w:rPr>
        <w:t>Apoyar en el archivo, organización y numeración de documentos y/o expedientes derivados de los procedimientos de la SDAPE</w:t>
      </w:r>
      <w:r>
        <w:rPr>
          <w:rFonts w:ascii="Arial" w:hAnsi="Arial" w:cs="Arial"/>
          <w:sz w:val="22"/>
          <w:szCs w:val="22"/>
        </w:rPr>
        <w:t>.</w:t>
      </w:r>
    </w:p>
    <w:p w14:paraId="76BFB091" w14:textId="49F2B847" w:rsidR="00A8016E" w:rsidRDefault="00A8016E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8016E">
        <w:rPr>
          <w:rFonts w:ascii="Arial" w:hAnsi="Arial" w:cs="Arial"/>
          <w:sz w:val="22"/>
          <w:szCs w:val="22"/>
        </w:rPr>
        <w:t>Apoyar en la proyección de documentos técnicos (planos, memorias, informes y otros) derivados de los procedimientos de la SDAPE.</w:t>
      </w:r>
    </w:p>
    <w:p w14:paraId="7F945F38" w14:textId="35F0BF00" w:rsidR="00A8016E" w:rsidRDefault="00A8016E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8016E">
        <w:rPr>
          <w:rFonts w:ascii="Arial" w:hAnsi="Arial" w:cs="Arial"/>
          <w:sz w:val="22"/>
          <w:szCs w:val="22"/>
        </w:rPr>
        <w:t>Apoyar en la organización y tramitación de documentos internos y otros que requiera la SDAPE.</w:t>
      </w:r>
    </w:p>
    <w:p w14:paraId="6FDC2BE7" w14:textId="1E5E02FF" w:rsidR="00A8016E" w:rsidRPr="00A8016E" w:rsidRDefault="00A8016E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8016E">
        <w:rPr>
          <w:rFonts w:ascii="Arial" w:hAnsi="Arial" w:cs="Arial"/>
          <w:sz w:val="22"/>
          <w:szCs w:val="22"/>
        </w:rPr>
        <w:t>Otras tareas que se le asigne.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C91AD4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C91AD4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1F96F5BC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B12470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46CAC4CA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3C5E867B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01C39D70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38BE43C1" w:rsidR="008501DE" w:rsidRPr="004526CD" w:rsidRDefault="00094AFC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17</w:t>
            </w:r>
            <w:r w:rsidR="00D2699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18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2BDAAC51" w:rsidR="008501DE" w:rsidRPr="001B6A84" w:rsidRDefault="00094AFC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D2699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  <w:bookmarkStart w:id="2" w:name="_GoBack"/>
            <w:bookmarkEnd w:id="2"/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865730B" w14:textId="26FB445D" w:rsidR="007E3E53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C91AD4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130E" w14:textId="77777777" w:rsidR="00C91AD4" w:rsidRDefault="00C91AD4" w:rsidP="00B03E50">
      <w:r>
        <w:separator/>
      </w:r>
    </w:p>
  </w:endnote>
  <w:endnote w:type="continuationSeparator" w:id="0">
    <w:p w14:paraId="5E33EE97" w14:textId="77777777" w:rsidR="00C91AD4" w:rsidRDefault="00C91AD4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C7D4" w14:textId="77777777" w:rsidR="00C91AD4" w:rsidRDefault="00C91AD4" w:rsidP="00B03E50">
      <w:r>
        <w:separator/>
      </w:r>
    </w:p>
  </w:footnote>
  <w:footnote w:type="continuationSeparator" w:id="0">
    <w:p w14:paraId="412F6965" w14:textId="77777777" w:rsidR="00C91AD4" w:rsidRDefault="00C91AD4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C91AD4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34FC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8076C"/>
    <w:rsid w:val="00181E8B"/>
    <w:rsid w:val="00182138"/>
    <w:rsid w:val="00190249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17B8C"/>
    <w:rsid w:val="00223AC0"/>
    <w:rsid w:val="002335A5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A6A82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0030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016E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8330B"/>
    <w:rsid w:val="00C91AD4"/>
    <w:rsid w:val="00C94680"/>
    <w:rsid w:val="00CB6848"/>
    <w:rsid w:val="00CD2F96"/>
    <w:rsid w:val="00CE1831"/>
    <w:rsid w:val="00CE33CB"/>
    <w:rsid w:val="00CE43B0"/>
    <w:rsid w:val="00CF188D"/>
    <w:rsid w:val="00D034F7"/>
    <w:rsid w:val="00D05E4A"/>
    <w:rsid w:val="00D16815"/>
    <w:rsid w:val="00D20388"/>
    <w:rsid w:val="00D20FCD"/>
    <w:rsid w:val="00D231F8"/>
    <w:rsid w:val="00D2392C"/>
    <w:rsid w:val="00D26994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6EAF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1848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4</cp:revision>
  <cp:lastPrinted>2020-01-31T20:44:00Z</cp:lastPrinted>
  <dcterms:created xsi:type="dcterms:W3CDTF">2020-10-27T02:50:00Z</dcterms:created>
  <dcterms:modified xsi:type="dcterms:W3CDTF">2020-10-27T13:13:00Z</dcterms:modified>
</cp:coreProperties>
</file>